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5D" w:rsidRPr="00943F6D" w:rsidRDefault="001C70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943F6D">
        <w:rPr>
          <w:lang w:val="ru-RU"/>
        </w:rPr>
        <w:br/>
      </w:r>
      <w:r w:rsidRPr="00943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второй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 и первого полугодия</w:t>
      </w:r>
    </w:p>
    <w:p w:rsidR="002C015D" w:rsidRPr="009B67D6" w:rsidRDefault="001C70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образовательных результатов по классам</w:t>
      </w:r>
    </w:p>
    <w:p w:rsidR="002C015D" w:rsidRPr="00943F6D" w:rsidRDefault="001C7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обучающихся на уровне </w:t>
      </w:r>
      <w:r w:rsidR="009B67D6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начального, 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9B6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9B67D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</w:t>
      </w:r>
      <w:proofErr w:type="gramEnd"/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9B67D6">
        <w:rPr>
          <w:rFonts w:hAnsi="Times New Roman" w:cs="Times New Roman"/>
          <w:color w:val="000000"/>
          <w:sz w:val="24"/>
          <w:szCs w:val="24"/>
          <w:lang w:val="ru-RU"/>
        </w:rPr>
        <w:t xml:space="preserve">на конец 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четверти составляло</w:t>
      </w:r>
      <w:r w:rsidR="009B67D6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8 человек. В течение второй четверти </w:t>
      </w:r>
      <w:r w:rsidR="009B67D6">
        <w:rPr>
          <w:rFonts w:hAnsi="Times New Roman" w:cs="Times New Roman"/>
          <w:color w:val="000000"/>
          <w:sz w:val="24"/>
          <w:szCs w:val="24"/>
          <w:lang w:val="ru-RU"/>
        </w:rPr>
        <w:t>отчислена 1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B67D6">
        <w:rPr>
          <w:rFonts w:hAnsi="Times New Roman" w:cs="Times New Roman"/>
          <w:color w:val="000000"/>
          <w:sz w:val="24"/>
          <w:szCs w:val="24"/>
          <w:lang w:val="ru-RU"/>
        </w:rPr>
        <w:t>обучающаяся  9</w:t>
      </w:r>
      <w:proofErr w:type="gramEnd"/>
      <w:r w:rsidR="009B67D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класса; 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r w:rsidR="009B67D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– в</w:t>
      </w:r>
      <w:r w:rsidR="009B67D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«Б»</w:t>
      </w:r>
      <w:r w:rsidR="009B67D6">
        <w:rPr>
          <w:rFonts w:hAnsi="Times New Roman" w:cs="Times New Roman"/>
          <w:color w:val="000000"/>
          <w:sz w:val="24"/>
          <w:szCs w:val="24"/>
          <w:lang w:val="ru-RU"/>
        </w:rPr>
        <w:t>, 6 классы.</w:t>
      </w:r>
    </w:p>
    <w:p w:rsidR="002C015D" w:rsidRDefault="001C7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Сведения о результатах второй четверти по классам приведены в таблице.</w:t>
      </w:r>
    </w:p>
    <w:p w:rsidR="00612DC0" w:rsidRPr="00943F6D" w:rsidRDefault="00612D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1457"/>
        <w:gridCol w:w="1092"/>
        <w:gridCol w:w="1092"/>
        <w:gridCol w:w="1043"/>
        <w:gridCol w:w="1173"/>
        <w:gridCol w:w="1391"/>
        <w:gridCol w:w="1053"/>
      </w:tblGrid>
      <w:tr w:rsidR="002C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 на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 на «4» и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943F6D" w:rsidRDefault="001C7002">
            <w:pPr>
              <w:rPr>
                <w:lang w:val="ru-RU"/>
              </w:rPr>
            </w:pPr>
            <w:r w:rsidRPr="00943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 успевают по одному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943F6D" w:rsidRDefault="001C7002">
            <w:pPr>
              <w:rPr>
                <w:lang w:val="ru-RU"/>
              </w:rPr>
            </w:pPr>
            <w:r w:rsidRPr="00943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 успевают по двум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3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более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качества, %</w:t>
            </w:r>
          </w:p>
        </w:tc>
      </w:tr>
      <w:tr w:rsidR="00612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612DC0" w:rsidRDefault="00612DC0" w:rsidP="00943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612DC0" w:rsidRDefault="00612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612DC0" w:rsidRDefault="00612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E3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20%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7/47%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5/ 33%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67 %</w:t>
            </w:r>
          </w:p>
        </w:tc>
      </w:tr>
      <w:tr w:rsidR="00612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612DC0" w:rsidRDefault="00612DC0" w:rsidP="00943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 67%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 33%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67 %</w:t>
            </w:r>
          </w:p>
        </w:tc>
      </w:tr>
      <w:tr w:rsidR="00612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612DC0" w:rsidRDefault="00612DC0" w:rsidP="00943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 8 %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9/ 69%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3/23%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100 %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1C7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77 %</w:t>
            </w:r>
          </w:p>
        </w:tc>
      </w:tr>
      <w:tr w:rsidR="00612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612DC0" w:rsidRDefault="009705D9" w:rsidP="00943F6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3-4 </w:t>
            </w:r>
            <w:r w:rsidR="00612DC0" w:rsidRPr="00612DC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 w:rsidP="00DE338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 w:rsidP="00DE338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4/ 10%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 w:rsidP="00DE338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24/ 60%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 w:rsidP="00DE338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12/ 30%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 w:rsidP="00DE338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 w:rsidP="00DE338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2DC0" w:rsidRPr="00DE3388" w:rsidRDefault="00DE3388" w:rsidP="00DE338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70 %</w:t>
            </w:r>
          </w:p>
        </w:tc>
      </w:tr>
      <w:tr w:rsidR="002C01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1C7002" w:rsidP="00943F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943F6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943F6D" w:rsidRDefault="00943F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943F6D" w:rsidRDefault="00943F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943F6D" w:rsidRDefault="00943F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943F6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DE338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943F6D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C01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943F6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943F6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943F6D" w:rsidRDefault="00943F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11/ 65%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29%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1C700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DE3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027D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71 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C01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027DA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lang w:val="ru-RU"/>
              </w:rPr>
              <w:t>11/ 65%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35%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1C700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027D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027D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65 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C01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1C7002" w:rsidP="00027D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027DA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027DA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55%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612D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027D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45%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1C700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027D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027D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C01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1C700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23%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 61%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027DAE" w:rsidRDefault="00027D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16%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1C700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027D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Default="001C7002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  <w:r w:rsidR="00612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E33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DE3388" w:rsidP="00DE33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DE3388" w:rsidP="00DE33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DE3388" w:rsidP="00DE33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 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DE3388" w:rsidP="00DE33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 64%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DE3388" w:rsidP="00DE33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21/ 29%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DE3388" w:rsidP="00DE33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DE3388" w:rsidP="00DE33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DE3388" w:rsidP="00DE33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E33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7A2D43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6/60%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7A2D43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 40%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7A2D43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7A2D43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7A2D43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60 %</w:t>
            </w:r>
          </w:p>
        </w:tc>
      </w:tr>
      <w:tr w:rsidR="00DE33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DE3388" w:rsidRDefault="00DE33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7A2D43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 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7A2D43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7A2D43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7A2D43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3388" w:rsidRPr="007A2D43" w:rsidRDefault="007A2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2C01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DE3388" w:rsidRDefault="00DE338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7A2D43" w:rsidRDefault="007A2D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DE3388" w:rsidRDefault="007A2D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DE3388" w:rsidRDefault="007A2D43" w:rsidP="00DE338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9/56%</w:t>
            </w:r>
            <w:r w:rsidR="001C7002" w:rsidRPr="00DE33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7A2D43" w:rsidRDefault="007A2D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7/44%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7A2D43" w:rsidRDefault="007A2D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7A2D43" w:rsidRDefault="007A2D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015D" w:rsidRPr="007A2D43" w:rsidRDefault="007A2D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56%</w:t>
            </w:r>
          </w:p>
        </w:tc>
      </w:tr>
      <w:tr w:rsidR="007A2D43" w:rsidRPr="007A2D43" w:rsidTr="007A2D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D43" w:rsidRPr="00DE3388" w:rsidRDefault="007A2D43" w:rsidP="00841BC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2D43" w:rsidRPr="007A2D43" w:rsidRDefault="007A2D43" w:rsidP="00841BC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2D43" w:rsidRPr="00DE3388" w:rsidRDefault="007A2D43" w:rsidP="00841BC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9/ 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2D43" w:rsidRPr="007A2D43" w:rsidRDefault="007A2D43" w:rsidP="00841B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79/ 62%</w:t>
            </w:r>
            <w:r w:rsidRPr="007A2D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2D43" w:rsidRPr="007A2D43" w:rsidRDefault="007A2D43" w:rsidP="00841BC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40/31%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2D43" w:rsidRPr="007A2D43" w:rsidRDefault="007A2D43" w:rsidP="00841BC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2D43" w:rsidRPr="007A2D43" w:rsidRDefault="007A2D43" w:rsidP="00841BC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2D43" w:rsidRPr="007A2D43" w:rsidRDefault="007A2D43" w:rsidP="00841BC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68,7%</w:t>
            </w:r>
          </w:p>
        </w:tc>
      </w:tr>
    </w:tbl>
    <w:p w:rsidR="002C015D" w:rsidRPr="00943F6D" w:rsidRDefault="001C7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Результаты по классам в сравнении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первой четвертью представлены на </w:t>
      </w:r>
      <w:r w:rsidR="00717AB2">
        <w:rPr>
          <w:rFonts w:hAnsi="Times New Roman" w:cs="Times New Roman"/>
          <w:color w:val="000000"/>
          <w:sz w:val="24"/>
          <w:szCs w:val="24"/>
          <w:lang w:val="ru-RU"/>
        </w:rPr>
        <w:t>диаграмме 1.</w:t>
      </w:r>
    </w:p>
    <w:p w:rsidR="001C7002" w:rsidRPr="00943F6D" w:rsidRDefault="001C7002" w:rsidP="001C7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943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Уровень качества </w:t>
      </w:r>
      <w:proofErr w:type="gramStart"/>
      <w:r w:rsidRPr="00943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proofErr w:type="gramEnd"/>
      <w:r w:rsidRPr="00943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</w:t>
      </w:r>
      <w:r w:rsidRPr="00943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–9-х классов по итогам первой и второй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четвертей (в %)</w:t>
      </w:r>
    </w:p>
    <w:p w:rsidR="002C015D" w:rsidRPr="001C7002" w:rsidRDefault="009B67D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015D" w:rsidRPr="00943F6D" w:rsidRDefault="001C7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Анализ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показывает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значительный 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рост уровня качества знаний в, в том числе за счет того, 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первой четверти одну отметку «3», стали во второй четверти хорошистами.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2C015D" w:rsidRPr="00943F6D" w:rsidRDefault="001C7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Все обучающиеся в первой четверти на «отлично» имеют по всем предметам отметки за вторую четверть «5», </w:t>
      </w:r>
      <w:r w:rsidR="009705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том 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, претендующих на получение аттестата с отличием.</w:t>
      </w:r>
    </w:p>
    <w:p w:rsidR="002C015D" w:rsidRPr="003567B5" w:rsidRDefault="001C70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7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образовательных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67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предметам</w:t>
      </w:r>
      <w:r w:rsidR="003567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основной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5"/>
        <w:gridCol w:w="1133"/>
        <w:gridCol w:w="1138"/>
        <w:gridCol w:w="1272"/>
        <w:gridCol w:w="1133"/>
        <w:gridCol w:w="1138"/>
        <w:gridCol w:w="1272"/>
      </w:tblGrid>
      <w:tr w:rsidR="002C015D">
        <w:trPr>
          <w:trHeight w:val="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 (%)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 (%)</w:t>
            </w:r>
          </w:p>
        </w:tc>
      </w:tr>
      <w:tr w:rsidR="002C015D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2C01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9705D9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9705D9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9705D9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567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9705D9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  <w:r w:rsidR="003567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9705D9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9705D9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 w:rsidP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  <w:r w:rsidR="003567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9705D9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9705D9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9705D9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+11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 w:rsidP="009705D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 w:rsidP="009705D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 w:rsidP="009705D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9705D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3567B5"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9705D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3567B5"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C7002">
              <w:rPr>
                <w:rFonts w:hAnsi="Times New Roman" w:cs="Times New Roman"/>
                <w:color w:val="000000"/>
                <w:sz w:val="24"/>
                <w:szCs w:val="24"/>
              </w:rPr>
              <w:t>+1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 w:rsidP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567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 w:rsidP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 w:rsidP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Pr="003567B5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+ 0,5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+1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+8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970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567B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+3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+7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356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+4</w:t>
            </w:r>
          </w:p>
        </w:tc>
      </w:tr>
      <w:tr w:rsidR="002C015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15D" w:rsidRDefault="001C7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  <w:r w:rsidR="003567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</w:tbl>
    <w:p w:rsidR="002C015D" w:rsidRPr="00943F6D" w:rsidRDefault="001C7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Из приведенной таблицы видно,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3567B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II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 не изменилась и стабильно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100 процентов.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C015D" w:rsidRPr="00943F6D" w:rsidRDefault="001C7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Что касается качества знаний, то здесь можно отметить положительную динамику по большинству изучаемых предметов.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Рост качества знаний объясняется прежде всего тем, что учителя постоянно совершенствуют методику проведения уроков, применяя новые педагогические технологии, ЭОР и ЦОР. Небольшое снижение качества знаний по основным предметам, русскому языку и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связно с недостаточной работой педагогов со слабоуспевающими обучающимися. </w:t>
      </w:r>
    </w:p>
    <w:p w:rsidR="002C015D" w:rsidRDefault="001C700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2C015D" w:rsidRPr="00943F6D" w:rsidRDefault="001C70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В целом обучающиеся</w:t>
      </w:r>
      <w:r w:rsidR="003567B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567B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продемонстрировали </w:t>
      </w:r>
      <w:r w:rsidR="003567B5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и уровня качества знаний</w:t>
      </w:r>
      <w:r w:rsidR="003567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015D" w:rsidRPr="00943F6D" w:rsidRDefault="001C70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Отмечен высокий уровень работы учителей-предметников с обучающимися</w:t>
      </w:r>
      <w:r w:rsidR="003567B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567B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-х классов, успевающими на «отлично»</w:t>
      </w:r>
    </w:p>
    <w:p w:rsidR="002C015D" w:rsidRPr="00943F6D" w:rsidRDefault="001C70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снижение качества 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из-за недостаточной работы педагогов со слабоуспевающими обучающимися.</w:t>
      </w:r>
    </w:p>
    <w:p w:rsidR="002C015D" w:rsidRDefault="001C700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2C015D" w:rsidRPr="00943F6D" w:rsidRDefault="001C70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Учителям-предметникам, у которых обучающиеся показали снижение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и уровня качества знаний, подготовить план по повышению </w:t>
      </w:r>
      <w:proofErr w:type="gramStart"/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протяжении третьей четверти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12.01.2024.</w:t>
      </w:r>
    </w:p>
    <w:p w:rsidR="002C015D" w:rsidRPr="00943F6D" w:rsidRDefault="002C01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015D" w:rsidRPr="00943F6D" w:rsidRDefault="001C7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Справку составил(а):</w:t>
      </w:r>
    </w:p>
    <w:p w:rsidR="002C015D" w:rsidRPr="00943F6D" w:rsidRDefault="001C7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 _____________________ /</w:t>
      </w:r>
      <w:proofErr w:type="spellStart"/>
      <w:r w:rsidR="00717AB2">
        <w:rPr>
          <w:rFonts w:hAnsi="Times New Roman" w:cs="Times New Roman"/>
          <w:color w:val="000000"/>
          <w:sz w:val="24"/>
          <w:szCs w:val="24"/>
          <w:lang w:val="ru-RU"/>
        </w:rPr>
        <w:t>ЛатанскаяО.М</w:t>
      </w:r>
      <w:proofErr w:type="spellEnd"/>
      <w:r w:rsidR="00717A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43F6D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2C015D" w:rsidRDefault="002C015D">
      <w:pPr>
        <w:rPr>
          <w:rFonts w:hAnsi="Times New Roman" w:cs="Times New Roman"/>
          <w:color w:val="000000"/>
          <w:sz w:val="24"/>
          <w:szCs w:val="24"/>
        </w:rPr>
      </w:pPr>
    </w:p>
    <w:sectPr w:rsidR="002C01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7D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55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17F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7DAE"/>
    <w:rsid w:val="001C7002"/>
    <w:rsid w:val="002C015D"/>
    <w:rsid w:val="002D33B1"/>
    <w:rsid w:val="002D3591"/>
    <w:rsid w:val="003514A0"/>
    <w:rsid w:val="003567B5"/>
    <w:rsid w:val="004F7E17"/>
    <w:rsid w:val="005A05CE"/>
    <w:rsid w:val="00612DC0"/>
    <w:rsid w:val="00653AF6"/>
    <w:rsid w:val="00717AB2"/>
    <w:rsid w:val="007A2D43"/>
    <w:rsid w:val="00943F6D"/>
    <w:rsid w:val="009705D9"/>
    <w:rsid w:val="009B67D6"/>
    <w:rsid w:val="00B73A5A"/>
    <w:rsid w:val="00DE338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4E00"/>
  <w15:docId w15:val="{361495A0-8CAB-4117-8B0E-A1CAE4DC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5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3"А" класс</c:v>
                </c:pt>
                <c:pt idx="1">
                  <c:v>3"Б"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0.6</c:v>
                </c:pt>
                <c:pt idx="1">
                  <c:v>0.64</c:v>
                </c:pt>
                <c:pt idx="2">
                  <c:v>0.61</c:v>
                </c:pt>
                <c:pt idx="3">
                  <c:v>0.64</c:v>
                </c:pt>
                <c:pt idx="4">
                  <c:v>0.56000000000000005</c:v>
                </c:pt>
                <c:pt idx="5">
                  <c:v>0.47</c:v>
                </c:pt>
                <c:pt idx="6">
                  <c:v>0.45</c:v>
                </c:pt>
                <c:pt idx="7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02-4508-B8AD-9A499C1BA1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3"А" класс</c:v>
                </c:pt>
                <c:pt idx="1">
                  <c:v>3"Б"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0.67</c:v>
                </c:pt>
                <c:pt idx="1">
                  <c:v>0.67</c:v>
                </c:pt>
                <c:pt idx="2">
                  <c:v>0.77</c:v>
                </c:pt>
                <c:pt idx="3">
                  <c:v>0.78</c:v>
                </c:pt>
                <c:pt idx="4">
                  <c:v>0.71</c:v>
                </c:pt>
                <c:pt idx="5">
                  <c:v>0.65</c:v>
                </c:pt>
                <c:pt idx="6">
                  <c:v>0.55000000000000004</c:v>
                </c:pt>
                <c:pt idx="7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02-4508-B8AD-9A499C1BA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8048680"/>
        <c:axId val="368048024"/>
      </c:barChart>
      <c:catAx>
        <c:axId val="36804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048024"/>
        <c:crosses val="autoZero"/>
        <c:auto val="1"/>
        <c:lblAlgn val="ctr"/>
        <c:lblOffset val="100"/>
        <c:noMultiLvlLbl val="0"/>
      </c:catAx>
      <c:valAx>
        <c:axId val="368048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048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2024-01-10T07:21:00Z</dcterms:created>
  <dcterms:modified xsi:type="dcterms:W3CDTF">2024-01-18T04:28:00Z</dcterms:modified>
</cp:coreProperties>
</file>